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E5E" w:rsidRDefault="00355602">
      <w:r w:rsidRPr="00355602">
        <w:rPr>
          <w:i/>
        </w:rPr>
        <w:t>Florida Statutes</w:t>
      </w:r>
      <w:r>
        <w:t>, section 286.011 states:</w:t>
      </w:r>
    </w:p>
    <w:p w:rsidR="00355602" w:rsidRPr="00355602" w:rsidRDefault="00355602" w:rsidP="00355602">
      <w:pPr>
        <w:spacing w:after="0" w:line="360" w:lineRule="atLeast"/>
        <w:ind w:firstLine="200"/>
        <w:rPr>
          <w:rFonts w:ascii="Trebuchet MS" w:eastAsia="Times New Roman" w:hAnsi="Trebuchet MS" w:cs="Times New Roman"/>
          <w:color w:val="000080"/>
          <w:sz w:val="20"/>
          <w:szCs w:val="20"/>
          <w:shd w:val="clear" w:color="auto" w:fill="FFFFFF"/>
        </w:rPr>
      </w:pPr>
      <w:r w:rsidRPr="00355602">
        <w:rPr>
          <w:rFonts w:ascii="Trebuchet MS" w:eastAsia="Times New Roman" w:hAnsi="Trebuchet MS" w:cs="Times New Roman"/>
          <w:b/>
          <w:bCs/>
          <w:color w:val="000080"/>
          <w:sz w:val="20"/>
          <w:szCs w:val="20"/>
          <w:shd w:val="clear" w:color="auto" w:fill="FFFFFF"/>
        </w:rPr>
        <w:t>286.011</w:t>
      </w:r>
      <w:r w:rsidRPr="00355602">
        <w:rPr>
          <w:rFonts w:ascii="Trebuchet MS" w:eastAsia="Times New Roman" w:hAnsi="Trebuchet MS" w:cs="Times New Roman"/>
          <w:b/>
          <w:bCs/>
          <w:color w:val="000080"/>
          <w:sz w:val="20"/>
          <w:szCs w:val="20"/>
          <w:shd w:val="clear" w:color="auto" w:fill="FFFFFF"/>
        </w:rPr>
        <w:t> </w:t>
      </w:r>
      <w:r w:rsidRPr="00355602">
        <w:rPr>
          <w:rFonts w:ascii="Trebuchet MS" w:eastAsia="Times New Roman" w:hAnsi="Trebuchet MS" w:cs="Times New Roman"/>
          <w:b/>
          <w:bCs/>
          <w:color w:val="000080"/>
          <w:sz w:val="20"/>
          <w:szCs w:val="20"/>
          <w:shd w:val="clear" w:color="auto" w:fill="FFFFFF"/>
        </w:rPr>
        <w:t>Public meetings and records; public inspection; criminal and civil penalties.</w:t>
      </w:r>
      <w:r w:rsidRPr="00355602">
        <w:rPr>
          <w:rFonts w:ascii="Trebuchet MS" w:eastAsia="Times New Roman" w:hAnsi="Trebuchet MS" w:cs="Times New Roman"/>
          <w:color w:val="000080"/>
          <w:sz w:val="20"/>
          <w:szCs w:val="20"/>
          <w:shd w:val="clear" w:color="auto" w:fill="FFFFFF"/>
        </w:rPr>
        <w:t>—</w:t>
      </w:r>
    </w:p>
    <w:p w:rsidR="00355602" w:rsidRPr="00355602" w:rsidRDefault="00355602" w:rsidP="00355602">
      <w:pPr>
        <w:spacing w:after="0" w:line="360" w:lineRule="atLeast"/>
        <w:ind w:firstLine="240"/>
        <w:rPr>
          <w:rFonts w:ascii="Times New Roman" w:eastAsia="Times New Roman" w:hAnsi="Times New Roman" w:cs="Times New Roman"/>
          <w:sz w:val="24"/>
          <w:szCs w:val="24"/>
        </w:rPr>
      </w:pPr>
      <w:r w:rsidRPr="00355602">
        <w:rPr>
          <w:rFonts w:ascii="Trebuchet MS" w:eastAsia="Times New Roman" w:hAnsi="Trebuchet MS" w:cs="Times New Roman"/>
          <w:color w:val="000080"/>
          <w:sz w:val="20"/>
          <w:szCs w:val="20"/>
          <w:shd w:val="clear" w:color="auto" w:fill="FFFFFF"/>
        </w:rPr>
        <w:t>(1)</w:t>
      </w:r>
      <w:r w:rsidRPr="00355602">
        <w:rPr>
          <w:rFonts w:ascii="Trebuchet MS" w:eastAsia="Times New Roman" w:hAnsi="Trebuchet MS" w:cs="Times New Roman"/>
          <w:color w:val="000080"/>
          <w:sz w:val="20"/>
          <w:szCs w:val="20"/>
          <w:shd w:val="clear" w:color="auto" w:fill="FFFFFF"/>
        </w:rPr>
        <w:t> </w:t>
      </w:r>
      <w:r w:rsidRPr="00355602">
        <w:rPr>
          <w:rFonts w:ascii="Trebuchet MS" w:eastAsia="Times New Roman" w:hAnsi="Trebuchet MS" w:cs="Times New Roman"/>
          <w:color w:val="000080"/>
          <w:sz w:val="20"/>
          <w:szCs w:val="20"/>
          <w:shd w:val="clear" w:color="auto" w:fill="FFFFFF"/>
        </w:rPr>
        <w:t>All meetings of any board or commission of any state agency or authority or of any agency or authority of any county, municipal corporation, or political subdivision, except as otherwise provided in the Constitution, including meetings with or attended by any person elected to such board or commission, but who has not yet taken office, at which official acts are to be taken are declared to be public meetings open to the public at all times, and no resolution, rule, or formal action shall be considered binding except as taken or made at such meeting. The board or commission must provide reasonable notice of all such meetings.</w:t>
      </w:r>
    </w:p>
    <w:p w:rsidR="00355602" w:rsidRPr="00355602" w:rsidRDefault="00355602" w:rsidP="00355602">
      <w:pPr>
        <w:spacing w:after="0" w:line="360" w:lineRule="atLeast"/>
        <w:ind w:firstLine="240"/>
        <w:rPr>
          <w:rFonts w:ascii="Trebuchet MS" w:eastAsia="Times New Roman" w:hAnsi="Trebuchet MS" w:cs="Times New Roman"/>
          <w:color w:val="000080"/>
          <w:sz w:val="20"/>
          <w:szCs w:val="20"/>
          <w:shd w:val="clear" w:color="auto" w:fill="FFFFFF"/>
        </w:rPr>
      </w:pPr>
      <w:r w:rsidRPr="00355602">
        <w:rPr>
          <w:rFonts w:ascii="Trebuchet MS" w:eastAsia="Times New Roman" w:hAnsi="Trebuchet MS" w:cs="Times New Roman"/>
          <w:color w:val="000080"/>
          <w:sz w:val="20"/>
          <w:szCs w:val="20"/>
          <w:shd w:val="clear" w:color="auto" w:fill="FFFFFF"/>
        </w:rPr>
        <w:t>(2</w:t>
      </w:r>
      <w:proofErr w:type="gramStart"/>
      <w:r w:rsidRPr="00355602">
        <w:rPr>
          <w:rFonts w:ascii="Trebuchet MS" w:eastAsia="Times New Roman" w:hAnsi="Trebuchet MS" w:cs="Times New Roman"/>
          <w:color w:val="000080"/>
          <w:sz w:val="20"/>
          <w:szCs w:val="20"/>
          <w:shd w:val="clear" w:color="auto" w:fill="FFFFFF"/>
        </w:rPr>
        <w:t>)</w:t>
      </w:r>
      <w:proofErr w:type="gramEnd"/>
      <w:r w:rsidRPr="00355602">
        <w:rPr>
          <w:rFonts w:ascii="Trebuchet MS" w:eastAsia="Times New Roman" w:hAnsi="Trebuchet MS" w:cs="Times New Roman"/>
          <w:color w:val="000080"/>
          <w:sz w:val="20"/>
          <w:szCs w:val="20"/>
          <w:shd w:val="clear" w:color="auto" w:fill="FFFFFF"/>
        </w:rPr>
        <w:t> </w:t>
      </w:r>
      <w:r w:rsidRPr="00355602">
        <w:rPr>
          <w:rFonts w:ascii="Trebuchet MS" w:eastAsia="Times New Roman" w:hAnsi="Trebuchet MS" w:cs="Times New Roman"/>
          <w:color w:val="000080"/>
          <w:sz w:val="20"/>
          <w:szCs w:val="20"/>
          <w:shd w:val="clear" w:color="auto" w:fill="FFFFFF"/>
        </w:rPr>
        <w:t>The minutes of a meeting of any such board or commission of any such state agency or authority shall be promptly recorded, and such records shall be open to public inspection. The circuit courts of this state shall have jurisdiction to issue injunctions to enforce the purposes of this section upon application by any citizen of this state.</w:t>
      </w:r>
    </w:p>
    <w:p w:rsidR="00355602" w:rsidRPr="00355602" w:rsidRDefault="00355602" w:rsidP="00355602">
      <w:pPr>
        <w:spacing w:after="0" w:line="360" w:lineRule="atLeast"/>
        <w:ind w:firstLine="240"/>
        <w:rPr>
          <w:rFonts w:ascii="Trebuchet MS" w:eastAsia="Times New Roman" w:hAnsi="Trebuchet MS" w:cs="Times New Roman"/>
          <w:color w:val="000080"/>
          <w:sz w:val="20"/>
          <w:szCs w:val="20"/>
          <w:shd w:val="clear" w:color="auto" w:fill="FFFFFF"/>
        </w:rPr>
      </w:pPr>
      <w:r w:rsidRPr="00355602">
        <w:rPr>
          <w:rFonts w:ascii="Trebuchet MS" w:eastAsia="Times New Roman" w:hAnsi="Trebuchet MS" w:cs="Times New Roman"/>
          <w:color w:val="000080"/>
          <w:sz w:val="20"/>
          <w:szCs w:val="20"/>
          <w:shd w:val="clear" w:color="auto" w:fill="FFFFFF"/>
        </w:rPr>
        <w:t>(3)(a</w:t>
      </w:r>
      <w:proofErr w:type="gramStart"/>
      <w:r w:rsidRPr="00355602">
        <w:rPr>
          <w:rFonts w:ascii="Trebuchet MS" w:eastAsia="Times New Roman" w:hAnsi="Trebuchet MS" w:cs="Times New Roman"/>
          <w:color w:val="000080"/>
          <w:sz w:val="20"/>
          <w:szCs w:val="20"/>
          <w:shd w:val="clear" w:color="auto" w:fill="FFFFFF"/>
        </w:rPr>
        <w:t>)</w:t>
      </w:r>
      <w:proofErr w:type="gramEnd"/>
      <w:r w:rsidRPr="00355602">
        <w:rPr>
          <w:rFonts w:ascii="Trebuchet MS" w:eastAsia="Times New Roman" w:hAnsi="Trebuchet MS" w:cs="Times New Roman"/>
          <w:color w:val="000080"/>
          <w:sz w:val="20"/>
          <w:szCs w:val="20"/>
          <w:shd w:val="clear" w:color="auto" w:fill="FFFFFF"/>
        </w:rPr>
        <w:t> </w:t>
      </w:r>
      <w:r w:rsidRPr="00355602">
        <w:rPr>
          <w:rFonts w:ascii="Trebuchet MS" w:eastAsia="Times New Roman" w:hAnsi="Trebuchet MS" w:cs="Times New Roman"/>
          <w:color w:val="000080"/>
          <w:sz w:val="20"/>
          <w:szCs w:val="20"/>
          <w:shd w:val="clear" w:color="auto" w:fill="FFFFFF"/>
        </w:rPr>
        <w:t>Any public officer who violates any provision of this section is guilty of a noncriminal infraction, punishable by fine not exceeding $500.</w:t>
      </w:r>
    </w:p>
    <w:p w:rsidR="00355602" w:rsidRPr="00355602" w:rsidRDefault="00355602" w:rsidP="00355602">
      <w:pPr>
        <w:spacing w:after="0" w:line="360" w:lineRule="atLeast"/>
        <w:ind w:firstLine="240"/>
        <w:rPr>
          <w:rFonts w:ascii="Trebuchet MS" w:eastAsia="Times New Roman" w:hAnsi="Trebuchet MS" w:cs="Times New Roman"/>
          <w:color w:val="000080"/>
          <w:sz w:val="20"/>
          <w:szCs w:val="20"/>
          <w:shd w:val="clear" w:color="auto" w:fill="FFFFFF"/>
        </w:rPr>
      </w:pPr>
      <w:r w:rsidRPr="00355602">
        <w:rPr>
          <w:rFonts w:ascii="Trebuchet MS" w:eastAsia="Times New Roman" w:hAnsi="Trebuchet MS" w:cs="Times New Roman"/>
          <w:color w:val="000080"/>
          <w:sz w:val="20"/>
          <w:szCs w:val="20"/>
          <w:shd w:val="clear" w:color="auto" w:fill="FFFFFF"/>
        </w:rPr>
        <w:t>(b</w:t>
      </w:r>
      <w:proofErr w:type="gramStart"/>
      <w:r w:rsidRPr="00355602">
        <w:rPr>
          <w:rFonts w:ascii="Trebuchet MS" w:eastAsia="Times New Roman" w:hAnsi="Trebuchet MS" w:cs="Times New Roman"/>
          <w:color w:val="000080"/>
          <w:sz w:val="20"/>
          <w:szCs w:val="20"/>
          <w:shd w:val="clear" w:color="auto" w:fill="FFFFFF"/>
        </w:rPr>
        <w:t>)</w:t>
      </w:r>
      <w:proofErr w:type="gramEnd"/>
      <w:r w:rsidRPr="00355602">
        <w:rPr>
          <w:rFonts w:ascii="Trebuchet MS" w:eastAsia="Times New Roman" w:hAnsi="Trebuchet MS" w:cs="Times New Roman"/>
          <w:color w:val="000080"/>
          <w:sz w:val="20"/>
          <w:szCs w:val="20"/>
          <w:shd w:val="clear" w:color="auto" w:fill="FFFFFF"/>
        </w:rPr>
        <w:t> </w:t>
      </w:r>
      <w:r w:rsidRPr="00355602">
        <w:rPr>
          <w:rFonts w:ascii="Trebuchet MS" w:eastAsia="Times New Roman" w:hAnsi="Trebuchet MS" w:cs="Times New Roman"/>
          <w:color w:val="000080"/>
          <w:sz w:val="20"/>
          <w:szCs w:val="20"/>
          <w:shd w:val="clear" w:color="auto" w:fill="FFFFFF"/>
        </w:rPr>
        <w:t>Any person who is a member of a board or commission or of any state agency or authority of any county, municipal corporation, or political subdivision who knowingly violates the provisions of this section by attending a meeting not held in accordance with the provisions hereof is guilty of a misdemeanor of the second degree, punishable as provided in s. 775.082 or s. 775.083.</w:t>
      </w:r>
    </w:p>
    <w:p w:rsidR="00355602" w:rsidRPr="00355602" w:rsidRDefault="00355602" w:rsidP="00355602">
      <w:pPr>
        <w:spacing w:after="0" w:line="360" w:lineRule="atLeast"/>
        <w:ind w:firstLine="240"/>
        <w:rPr>
          <w:rFonts w:ascii="Trebuchet MS" w:eastAsia="Times New Roman" w:hAnsi="Trebuchet MS" w:cs="Times New Roman"/>
          <w:color w:val="000080"/>
          <w:sz w:val="20"/>
          <w:szCs w:val="20"/>
          <w:shd w:val="clear" w:color="auto" w:fill="FFFFFF"/>
        </w:rPr>
      </w:pPr>
      <w:r w:rsidRPr="00355602">
        <w:rPr>
          <w:rFonts w:ascii="Trebuchet MS" w:eastAsia="Times New Roman" w:hAnsi="Trebuchet MS" w:cs="Times New Roman"/>
          <w:color w:val="000080"/>
          <w:sz w:val="20"/>
          <w:szCs w:val="20"/>
          <w:shd w:val="clear" w:color="auto" w:fill="FFFFFF"/>
        </w:rPr>
        <w:t>(c</w:t>
      </w:r>
      <w:proofErr w:type="gramStart"/>
      <w:r w:rsidRPr="00355602">
        <w:rPr>
          <w:rFonts w:ascii="Trebuchet MS" w:eastAsia="Times New Roman" w:hAnsi="Trebuchet MS" w:cs="Times New Roman"/>
          <w:color w:val="000080"/>
          <w:sz w:val="20"/>
          <w:szCs w:val="20"/>
          <w:shd w:val="clear" w:color="auto" w:fill="FFFFFF"/>
        </w:rPr>
        <w:t>)</w:t>
      </w:r>
      <w:proofErr w:type="gramEnd"/>
      <w:r w:rsidRPr="00355602">
        <w:rPr>
          <w:rFonts w:ascii="Trebuchet MS" w:eastAsia="Times New Roman" w:hAnsi="Trebuchet MS" w:cs="Times New Roman"/>
          <w:color w:val="000080"/>
          <w:sz w:val="20"/>
          <w:szCs w:val="20"/>
          <w:shd w:val="clear" w:color="auto" w:fill="FFFFFF"/>
        </w:rPr>
        <w:t> </w:t>
      </w:r>
      <w:r w:rsidRPr="00355602">
        <w:rPr>
          <w:rFonts w:ascii="Trebuchet MS" w:eastAsia="Times New Roman" w:hAnsi="Trebuchet MS" w:cs="Times New Roman"/>
          <w:color w:val="000080"/>
          <w:sz w:val="20"/>
          <w:szCs w:val="20"/>
          <w:shd w:val="clear" w:color="auto" w:fill="FFFFFF"/>
        </w:rPr>
        <w:t>Conduct which occurs outside the state which would constitute a knowing violation of this section is a misdemeanor of the second degree, punishable as provided in s. 775.082 or s. 775.083.</w:t>
      </w:r>
    </w:p>
    <w:p w:rsidR="00355602" w:rsidRPr="00355602" w:rsidRDefault="00355602" w:rsidP="00355602">
      <w:pPr>
        <w:spacing w:after="0" w:line="360" w:lineRule="atLeast"/>
        <w:ind w:firstLine="240"/>
        <w:rPr>
          <w:rFonts w:ascii="Trebuchet MS" w:eastAsia="Times New Roman" w:hAnsi="Trebuchet MS" w:cs="Times New Roman"/>
          <w:color w:val="000080"/>
          <w:sz w:val="20"/>
          <w:szCs w:val="20"/>
          <w:shd w:val="clear" w:color="auto" w:fill="FFFFFF"/>
        </w:rPr>
      </w:pPr>
      <w:r w:rsidRPr="00355602">
        <w:rPr>
          <w:rFonts w:ascii="Trebuchet MS" w:eastAsia="Times New Roman" w:hAnsi="Trebuchet MS" w:cs="Times New Roman"/>
          <w:color w:val="000080"/>
          <w:sz w:val="20"/>
          <w:szCs w:val="20"/>
          <w:shd w:val="clear" w:color="auto" w:fill="FFFFFF"/>
        </w:rPr>
        <w:t>(4)</w:t>
      </w:r>
      <w:r w:rsidRPr="00355602">
        <w:rPr>
          <w:rFonts w:ascii="Trebuchet MS" w:eastAsia="Times New Roman" w:hAnsi="Trebuchet MS" w:cs="Times New Roman"/>
          <w:color w:val="000080"/>
          <w:sz w:val="20"/>
          <w:szCs w:val="20"/>
          <w:shd w:val="clear" w:color="auto" w:fill="FFFFFF"/>
        </w:rPr>
        <w:t> </w:t>
      </w:r>
      <w:r w:rsidRPr="00355602">
        <w:rPr>
          <w:rFonts w:ascii="Trebuchet MS" w:eastAsia="Times New Roman" w:hAnsi="Trebuchet MS" w:cs="Times New Roman"/>
          <w:color w:val="000080"/>
          <w:sz w:val="20"/>
          <w:szCs w:val="20"/>
          <w:shd w:val="clear" w:color="auto" w:fill="FFFFFF"/>
        </w:rPr>
        <w:t>Whenever an action has been filed against any board or commission of any state agency or authority or any agency or authority of any county, municipal corporation, or political subdivision to enforce the provisions of this section or to invalidate the actions of any such board, commission, agency, or authority, which action was taken in violation of this section, and the court determines that the defendant or defendants to such action acted in violation of this section, the court shall assess a reasonable attorney’s fee against such agency, and may assess a reasonable attorney’s fee against the individual filing such an action if the court finds it was filed in bad faith or was frivolous. Any fees so assessed may be assessed against the individual member or members of such board or commission; provided, that in any case where the board or commission seeks the advice of its attorney and such advice is followed, no such fees shall be assessed against the individual member or members of the board or commission. However, this subsection shall not apply to a state attorney or his or her duly authorized assistants or any officer charged with enforcing the provisions of this section.</w:t>
      </w:r>
    </w:p>
    <w:p w:rsidR="00355602" w:rsidRPr="00355602" w:rsidRDefault="00355602" w:rsidP="00355602">
      <w:pPr>
        <w:spacing w:after="0" w:line="360" w:lineRule="atLeast"/>
        <w:ind w:firstLine="240"/>
        <w:rPr>
          <w:rFonts w:ascii="Trebuchet MS" w:eastAsia="Times New Roman" w:hAnsi="Trebuchet MS" w:cs="Times New Roman"/>
          <w:color w:val="000080"/>
          <w:sz w:val="20"/>
          <w:szCs w:val="20"/>
          <w:shd w:val="clear" w:color="auto" w:fill="FFFFFF"/>
        </w:rPr>
      </w:pPr>
      <w:r w:rsidRPr="00355602">
        <w:rPr>
          <w:rFonts w:ascii="Trebuchet MS" w:eastAsia="Times New Roman" w:hAnsi="Trebuchet MS" w:cs="Times New Roman"/>
          <w:color w:val="000080"/>
          <w:sz w:val="20"/>
          <w:szCs w:val="20"/>
          <w:shd w:val="clear" w:color="auto" w:fill="FFFFFF"/>
        </w:rPr>
        <w:t>(5</w:t>
      </w:r>
      <w:proofErr w:type="gramStart"/>
      <w:r w:rsidRPr="00355602">
        <w:rPr>
          <w:rFonts w:ascii="Trebuchet MS" w:eastAsia="Times New Roman" w:hAnsi="Trebuchet MS" w:cs="Times New Roman"/>
          <w:color w:val="000080"/>
          <w:sz w:val="20"/>
          <w:szCs w:val="20"/>
          <w:shd w:val="clear" w:color="auto" w:fill="FFFFFF"/>
        </w:rPr>
        <w:t>)</w:t>
      </w:r>
      <w:proofErr w:type="gramEnd"/>
      <w:r w:rsidRPr="00355602">
        <w:rPr>
          <w:rFonts w:ascii="Trebuchet MS" w:eastAsia="Times New Roman" w:hAnsi="Trebuchet MS" w:cs="Times New Roman"/>
          <w:color w:val="000080"/>
          <w:sz w:val="20"/>
          <w:szCs w:val="20"/>
          <w:shd w:val="clear" w:color="auto" w:fill="FFFFFF"/>
        </w:rPr>
        <w:t> </w:t>
      </w:r>
      <w:r w:rsidRPr="00355602">
        <w:rPr>
          <w:rFonts w:ascii="Trebuchet MS" w:eastAsia="Times New Roman" w:hAnsi="Trebuchet MS" w:cs="Times New Roman"/>
          <w:color w:val="000080"/>
          <w:sz w:val="20"/>
          <w:szCs w:val="20"/>
          <w:shd w:val="clear" w:color="auto" w:fill="FFFFFF"/>
        </w:rPr>
        <w:t xml:space="preserve">Whenever any board or commission of any state agency or authority or any agency or authority of any county, municipal corporation, or political subdivision appeals any court order which has found </w:t>
      </w:r>
      <w:r w:rsidRPr="00355602">
        <w:rPr>
          <w:rFonts w:ascii="Trebuchet MS" w:eastAsia="Times New Roman" w:hAnsi="Trebuchet MS" w:cs="Times New Roman"/>
          <w:color w:val="000080"/>
          <w:sz w:val="20"/>
          <w:szCs w:val="20"/>
          <w:shd w:val="clear" w:color="auto" w:fill="FFFFFF"/>
        </w:rPr>
        <w:lastRenderedPageBreak/>
        <w:t>said board, commission, agency, or authority to have violated this section, and such order is affirmed, the court shall assess a reasonable attorney’s fee for the appeal against such board, commission, agency, or authority. Any fees so assessed may be assessed against the individual member or members of such board or commission; provided, that in any case where the board or commission seeks the advice of its attorney and such advice is followed, no such fees shall be assessed against the individual member or members of the board or commission.</w:t>
      </w:r>
    </w:p>
    <w:p w:rsidR="00355602" w:rsidRPr="00355602" w:rsidRDefault="00355602" w:rsidP="00355602">
      <w:pPr>
        <w:spacing w:after="0" w:line="360" w:lineRule="atLeast"/>
        <w:ind w:firstLine="240"/>
        <w:rPr>
          <w:rFonts w:ascii="Trebuchet MS" w:eastAsia="Times New Roman" w:hAnsi="Trebuchet MS" w:cs="Times New Roman"/>
          <w:color w:val="000080"/>
          <w:sz w:val="20"/>
          <w:szCs w:val="20"/>
          <w:shd w:val="clear" w:color="auto" w:fill="FFFFFF"/>
        </w:rPr>
      </w:pPr>
      <w:r w:rsidRPr="00355602">
        <w:rPr>
          <w:rFonts w:ascii="Trebuchet MS" w:eastAsia="Times New Roman" w:hAnsi="Trebuchet MS" w:cs="Times New Roman"/>
          <w:color w:val="000080"/>
          <w:sz w:val="20"/>
          <w:szCs w:val="20"/>
          <w:shd w:val="clear" w:color="auto" w:fill="FFFFFF"/>
        </w:rPr>
        <w:t>(6</w:t>
      </w:r>
      <w:proofErr w:type="gramStart"/>
      <w:r w:rsidRPr="00355602">
        <w:rPr>
          <w:rFonts w:ascii="Trebuchet MS" w:eastAsia="Times New Roman" w:hAnsi="Trebuchet MS" w:cs="Times New Roman"/>
          <w:color w:val="000080"/>
          <w:sz w:val="20"/>
          <w:szCs w:val="20"/>
          <w:shd w:val="clear" w:color="auto" w:fill="FFFFFF"/>
        </w:rPr>
        <w:t>)</w:t>
      </w:r>
      <w:proofErr w:type="gramEnd"/>
      <w:r w:rsidRPr="00355602">
        <w:rPr>
          <w:rFonts w:ascii="Trebuchet MS" w:eastAsia="Times New Roman" w:hAnsi="Trebuchet MS" w:cs="Times New Roman"/>
          <w:color w:val="000080"/>
          <w:sz w:val="20"/>
          <w:szCs w:val="20"/>
          <w:shd w:val="clear" w:color="auto" w:fill="FFFFFF"/>
        </w:rPr>
        <w:t> </w:t>
      </w:r>
      <w:r w:rsidRPr="00355602">
        <w:rPr>
          <w:rFonts w:ascii="Trebuchet MS" w:eastAsia="Times New Roman" w:hAnsi="Trebuchet MS" w:cs="Times New Roman"/>
          <w:color w:val="000080"/>
          <w:sz w:val="20"/>
          <w:szCs w:val="20"/>
          <w:shd w:val="clear" w:color="auto" w:fill="FFFFFF"/>
        </w:rPr>
        <w:t>All persons subject to subsection (1) are prohibited from holding meetings at any facility or location which discriminates on the basis of sex, age, race, creed, color, origin, or economic status or which operates in such a manner as to unreasonably restrict public access to such a facility.</w:t>
      </w:r>
    </w:p>
    <w:p w:rsidR="00355602" w:rsidRPr="00355602" w:rsidRDefault="00355602" w:rsidP="00355602">
      <w:pPr>
        <w:spacing w:after="0" w:line="360" w:lineRule="atLeast"/>
        <w:ind w:firstLine="240"/>
        <w:rPr>
          <w:rFonts w:ascii="Trebuchet MS" w:eastAsia="Times New Roman" w:hAnsi="Trebuchet MS" w:cs="Times New Roman"/>
          <w:color w:val="000080"/>
          <w:sz w:val="20"/>
          <w:szCs w:val="20"/>
          <w:shd w:val="clear" w:color="auto" w:fill="FFFFFF"/>
        </w:rPr>
      </w:pPr>
      <w:r w:rsidRPr="00355602">
        <w:rPr>
          <w:rFonts w:ascii="Trebuchet MS" w:eastAsia="Times New Roman" w:hAnsi="Trebuchet MS" w:cs="Times New Roman"/>
          <w:color w:val="000080"/>
          <w:sz w:val="20"/>
          <w:szCs w:val="20"/>
          <w:shd w:val="clear" w:color="auto" w:fill="FFFFFF"/>
        </w:rPr>
        <w:t>(7)</w:t>
      </w:r>
      <w:r w:rsidRPr="00355602">
        <w:rPr>
          <w:rFonts w:ascii="Trebuchet MS" w:eastAsia="Times New Roman" w:hAnsi="Trebuchet MS" w:cs="Times New Roman"/>
          <w:color w:val="000080"/>
          <w:sz w:val="20"/>
          <w:szCs w:val="20"/>
          <w:shd w:val="clear" w:color="auto" w:fill="FFFFFF"/>
        </w:rPr>
        <w:t> </w:t>
      </w:r>
      <w:r w:rsidRPr="00355602">
        <w:rPr>
          <w:rFonts w:ascii="Trebuchet MS" w:eastAsia="Times New Roman" w:hAnsi="Trebuchet MS" w:cs="Times New Roman"/>
          <w:color w:val="000080"/>
          <w:sz w:val="20"/>
          <w:szCs w:val="20"/>
          <w:shd w:val="clear" w:color="auto" w:fill="FFFFFF"/>
        </w:rPr>
        <w:t>Whenever any member of any board or commission of any state agency or authority or any agency or authority of any county, municipal corporation, or political subdivision is charged with a violation of this section and is subsequently acquitted, the board or commission is authorized to reimburse said member for any portion of his or her reasonable attorney’s fees.</w:t>
      </w:r>
    </w:p>
    <w:p w:rsidR="00355602" w:rsidRPr="00355602" w:rsidRDefault="00355602" w:rsidP="00355602">
      <w:pPr>
        <w:spacing w:after="0" w:line="360" w:lineRule="atLeast"/>
        <w:ind w:firstLine="240"/>
        <w:rPr>
          <w:rFonts w:ascii="Trebuchet MS" w:eastAsia="Times New Roman" w:hAnsi="Trebuchet MS" w:cs="Times New Roman"/>
          <w:color w:val="000080"/>
          <w:sz w:val="20"/>
          <w:szCs w:val="20"/>
          <w:shd w:val="clear" w:color="auto" w:fill="FFFFFF"/>
        </w:rPr>
      </w:pPr>
      <w:r w:rsidRPr="00355602">
        <w:rPr>
          <w:rFonts w:ascii="Trebuchet MS" w:eastAsia="Times New Roman" w:hAnsi="Trebuchet MS" w:cs="Times New Roman"/>
          <w:color w:val="000080"/>
          <w:sz w:val="20"/>
          <w:szCs w:val="20"/>
          <w:shd w:val="clear" w:color="auto" w:fill="FFFFFF"/>
        </w:rPr>
        <w:t>(8</w:t>
      </w:r>
      <w:proofErr w:type="gramStart"/>
      <w:r w:rsidRPr="00355602">
        <w:rPr>
          <w:rFonts w:ascii="Trebuchet MS" w:eastAsia="Times New Roman" w:hAnsi="Trebuchet MS" w:cs="Times New Roman"/>
          <w:color w:val="000080"/>
          <w:sz w:val="20"/>
          <w:szCs w:val="20"/>
          <w:shd w:val="clear" w:color="auto" w:fill="FFFFFF"/>
        </w:rPr>
        <w:t>)</w:t>
      </w:r>
      <w:proofErr w:type="gramEnd"/>
      <w:r w:rsidRPr="00355602">
        <w:rPr>
          <w:rFonts w:ascii="Trebuchet MS" w:eastAsia="Times New Roman" w:hAnsi="Trebuchet MS" w:cs="Times New Roman"/>
          <w:color w:val="000080"/>
          <w:sz w:val="20"/>
          <w:szCs w:val="20"/>
          <w:shd w:val="clear" w:color="auto" w:fill="FFFFFF"/>
        </w:rPr>
        <w:t> </w:t>
      </w:r>
      <w:r w:rsidRPr="00355602">
        <w:rPr>
          <w:rFonts w:ascii="Trebuchet MS" w:eastAsia="Times New Roman" w:hAnsi="Trebuchet MS" w:cs="Times New Roman"/>
          <w:color w:val="000080"/>
          <w:sz w:val="20"/>
          <w:szCs w:val="20"/>
          <w:shd w:val="clear" w:color="auto" w:fill="FFFFFF"/>
        </w:rPr>
        <w:t>Notwithstanding the provisions of subsection (1), any board or commission of any state agency or authority or any agency or authority of any county, municipal corporation, or political subdivision, and the chief administrative or executive officer of the governmental entity, may meet in private with the entity’s attorney to discuss pending litigation to which the entity is presently a party before a court or administrative agency, provided that the following conditions are met:</w:t>
      </w:r>
    </w:p>
    <w:p w:rsidR="00355602" w:rsidRPr="00355602" w:rsidRDefault="00355602" w:rsidP="00355602">
      <w:pPr>
        <w:spacing w:after="0" w:line="360" w:lineRule="atLeast"/>
        <w:ind w:firstLine="240"/>
        <w:rPr>
          <w:rFonts w:ascii="Trebuchet MS" w:eastAsia="Times New Roman" w:hAnsi="Trebuchet MS" w:cs="Times New Roman"/>
          <w:color w:val="000080"/>
          <w:sz w:val="20"/>
          <w:szCs w:val="20"/>
          <w:shd w:val="clear" w:color="auto" w:fill="FFFFFF"/>
        </w:rPr>
      </w:pPr>
      <w:r w:rsidRPr="00355602">
        <w:rPr>
          <w:rFonts w:ascii="Trebuchet MS" w:eastAsia="Times New Roman" w:hAnsi="Trebuchet MS" w:cs="Times New Roman"/>
          <w:color w:val="000080"/>
          <w:sz w:val="20"/>
          <w:szCs w:val="20"/>
          <w:shd w:val="clear" w:color="auto" w:fill="FFFFFF"/>
        </w:rPr>
        <w:t>(a</w:t>
      </w:r>
      <w:proofErr w:type="gramStart"/>
      <w:r w:rsidRPr="00355602">
        <w:rPr>
          <w:rFonts w:ascii="Trebuchet MS" w:eastAsia="Times New Roman" w:hAnsi="Trebuchet MS" w:cs="Times New Roman"/>
          <w:color w:val="000080"/>
          <w:sz w:val="20"/>
          <w:szCs w:val="20"/>
          <w:shd w:val="clear" w:color="auto" w:fill="FFFFFF"/>
        </w:rPr>
        <w:t>)</w:t>
      </w:r>
      <w:proofErr w:type="gramEnd"/>
      <w:r w:rsidRPr="00355602">
        <w:rPr>
          <w:rFonts w:ascii="Trebuchet MS" w:eastAsia="Times New Roman" w:hAnsi="Trebuchet MS" w:cs="Times New Roman"/>
          <w:color w:val="000080"/>
          <w:sz w:val="20"/>
          <w:szCs w:val="20"/>
          <w:shd w:val="clear" w:color="auto" w:fill="FFFFFF"/>
        </w:rPr>
        <w:t> </w:t>
      </w:r>
      <w:r w:rsidRPr="00355602">
        <w:rPr>
          <w:rFonts w:ascii="Trebuchet MS" w:eastAsia="Times New Roman" w:hAnsi="Trebuchet MS" w:cs="Times New Roman"/>
          <w:color w:val="000080"/>
          <w:sz w:val="20"/>
          <w:szCs w:val="20"/>
          <w:shd w:val="clear" w:color="auto" w:fill="FFFFFF"/>
        </w:rPr>
        <w:t>The entity’s attorney shall advise the entity at a public meeting that he or she desires advice concerning the litigation.</w:t>
      </w:r>
    </w:p>
    <w:p w:rsidR="00355602" w:rsidRPr="00355602" w:rsidRDefault="00355602" w:rsidP="00355602">
      <w:pPr>
        <w:spacing w:after="0" w:line="360" w:lineRule="atLeast"/>
        <w:ind w:firstLine="240"/>
        <w:rPr>
          <w:rFonts w:ascii="Trebuchet MS" w:eastAsia="Times New Roman" w:hAnsi="Trebuchet MS" w:cs="Times New Roman"/>
          <w:color w:val="000080"/>
          <w:sz w:val="20"/>
          <w:szCs w:val="20"/>
          <w:shd w:val="clear" w:color="auto" w:fill="FFFFFF"/>
        </w:rPr>
      </w:pPr>
      <w:r w:rsidRPr="00355602">
        <w:rPr>
          <w:rFonts w:ascii="Trebuchet MS" w:eastAsia="Times New Roman" w:hAnsi="Trebuchet MS" w:cs="Times New Roman"/>
          <w:color w:val="000080"/>
          <w:sz w:val="20"/>
          <w:szCs w:val="20"/>
          <w:shd w:val="clear" w:color="auto" w:fill="FFFFFF"/>
        </w:rPr>
        <w:t>(b</w:t>
      </w:r>
      <w:proofErr w:type="gramStart"/>
      <w:r w:rsidRPr="00355602">
        <w:rPr>
          <w:rFonts w:ascii="Trebuchet MS" w:eastAsia="Times New Roman" w:hAnsi="Trebuchet MS" w:cs="Times New Roman"/>
          <w:color w:val="000080"/>
          <w:sz w:val="20"/>
          <w:szCs w:val="20"/>
          <w:shd w:val="clear" w:color="auto" w:fill="FFFFFF"/>
        </w:rPr>
        <w:t>)</w:t>
      </w:r>
      <w:proofErr w:type="gramEnd"/>
      <w:r w:rsidRPr="00355602">
        <w:rPr>
          <w:rFonts w:ascii="Trebuchet MS" w:eastAsia="Times New Roman" w:hAnsi="Trebuchet MS" w:cs="Times New Roman"/>
          <w:color w:val="000080"/>
          <w:sz w:val="20"/>
          <w:szCs w:val="20"/>
          <w:shd w:val="clear" w:color="auto" w:fill="FFFFFF"/>
        </w:rPr>
        <w:t> </w:t>
      </w:r>
      <w:r w:rsidRPr="00355602">
        <w:rPr>
          <w:rFonts w:ascii="Trebuchet MS" w:eastAsia="Times New Roman" w:hAnsi="Trebuchet MS" w:cs="Times New Roman"/>
          <w:color w:val="000080"/>
          <w:sz w:val="20"/>
          <w:szCs w:val="20"/>
          <w:shd w:val="clear" w:color="auto" w:fill="FFFFFF"/>
        </w:rPr>
        <w:t>The subject matter of the meeting shall be confined to settlement negotiations or strategy sessions related to litigation expenditures.</w:t>
      </w:r>
    </w:p>
    <w:p w:rsidR="00355602" w:rsidRPr="00355602" w:rsidRDefault="00355602" w:rsidP="00355602">
      <w:pPr>
        <w:spacing w:after="0" w:line="360" w:lineRule="atLeast"/>
        <w:ind w:firstLine="240"/>
        <w:rPr>
          <w:rFonts w:ascii="Trebuchet MS" w:eastAsia="Times New Roman" w:hAnsi="Trebuchet MS" w:cs="Times New Roman"/>
          <w:color w:val="000080"/>
          <w:sz w:val="20"/>
          <w:szCs w:val="20"/>
          <w:shd w:val="clear" w:color="auto" w:fill="FFFFFF"/>
        </w:rPr>
      </w:pPr>
      <w:r w:rsidRPr="00355602">
        <w:rPr>
          <w:rFonts w:ascii="Trebuchet MS" w:eastAsia="Times New Roman" w:hAnsi="Trebuchet MS" w:cs="Times New Roman"/>
          <w:color w:val="000080"/>
          <w:sz w:val="20"/>
          <w:szCs w:val="20"/>
          <w:shd w:val="clear" w:color="auto" w:fill="FFFFFF"/>
        </w:rPr>
        <w:t>(c</w:t>
      </w:r>
      <w:proofErr w:type="gramStart"/>
      <w:r w:rsidRPr="00355602">
        <w:rPr>
          <w:rFonts w:ascii="Trebuchet MS" w:eastAsia="Times New Roman" w:hAnsi="Trebuchet MS" w:cs="Times New Roman"/>
          <w:color w:val="000080"/>
          <w:sz w:val="20"/>
          <w:szCs w:val="20"/>
          <w:shd w:val="clear" w:color="auto" w:fill="FFFFFF"/>
        </w:rPr>
        <w:t>)</w:t>
      </w:r>
      <w:proofErr w:type="gramEnd"/>
      <w:r w:rsidRPr="00355602">
        <w:rPr>
          <w:rFonts w:ascii="Trebuchet MS" w:eastAsia="Times New Roman" w:hAnsi="Trebuchet MS" w:cs="Times New Roman"/>
          <w:color w:val="000080"/>
          <w:sz w:val="20"/>
          <w:szCs w:val="20"/>
          <w:shd w:val="clear" w:color="auto" w:fill="FFFFFF"/>
        </w:rPr>
        <w:t> </w:t>
      </w:r>
      <w:r w:rsidRPr="00355602">
        <w:rPr>
          <w:rFonts w:ascii="Trebuchet MS" w:eastAsia="Times New Roman" w:hAnsi="Trebuchet MS" w:cs="Times New Roman"/>
          <w:color w:val="000080"/>
          <w:sz w:val="20"/>
          <w:szCs w:val="20"/>
          <w:shd w:val="clear" w:color="auto" w:fill="FFFFFF"/>
        </w:rPr>
        <w:t>The entire session shall be recorded by a certified court reporter. The reporter shall record the times of commencement and termination of the session, all discussion and proceedings, the names of all persons present at any time, and the names of all persons speaking. No portion of the session shall be off the record. The court reporter’s notes shall be fully transcribed and filed with the entity’s clerk within a reasonable time after the meeting.</w:t>
      </w:r>
    </w:p>
    <w:p w:rsidR="00355602" w:rsidRPr="00355602" w:rsidRDefault="00355602" w:rsidP="00355602">
      <w:pPr>
        <w:spacing w:after="0" w:line="360" w:lineRule="atLeast"/>
        <w:ind w:firstLine="240"/>
        <w:rPr>
          <w:rFonts w:ascii="Trebuchet MS" w:eastAsia="Times New Roman" w:hAnsi="Trebuchet MS" w:cs="Times New Roman"/>
          <w:color w:val="000080"/>
          <w:sz w:val="20"/>
          <w:szCs w:val="20"/>
          <w:shd w:val="clear" w:color="auto" w:fill="FFFFFF"/>
        </w:rPr>
      </w:pPr>
      <w:r w:rsidRPr="00355602">
        <w:rPr>
          <w:rFonts w:ascii="Trebuchet MS" w:eastAsia="Times New Roman" w:hAnsi="Trebuchet MS" w:cs="Times New Roman"/>
          <w:color w:val="000080"/>
          <w:sz w:val="20"/>
          <w:szCs w:val="20"/>
          <w:shd w:val="clear" w:color="auto" w:fill="FFFFFF"/>
        </w:rPr>
        <w:t>(d</w:t>
      </w:r>
      <w:proofErr w:type="gramStart"/>
      <w:r w:rsidRPr="00355602">
        <w:rPr>
          <w:rFonts w:ascii="Trebuchet MS" w:eastAsia="Times New Roman" w:hAnsi="Trebuchet MS" w:cs="Times New Roman"/>
          <w:color w:val="000080"/>
          <w:sz w:val="20"/>
          <w:szCs w:val="20"/>
          <w:shd w:val="clear" w:color="auto" w:fill="FFFFFF"/>
        </w:rPr>
        <w:t>)</w:t>
      </w:r>
      <w:proofErr w:type="gramEnd"/>
      <w:r w:rsidRPr="00355602">
        <w:rPr>
          <w:rFonts w:ascii="Trebuchet MS" w:eastAsia="Times New Roman" w:hAnsi="Trebuchet MS" w:cs="Times New Roman"/>
          <w:color w:val="000080"/>
          <w:sz w:val="20"/>
          <w:szCs w:val="20"/>
          <w:shd w:val="clear" w:color="auto" w:fill="FFFFFF"/>
        </w:rPr>
        <w:t> </w:t>
      </w:r>
      <w:r w:rsidRPr="00355602">
        <w:rPr>
          <w:rFonts w:ascii="Trebuchet MS" w:eastAsia="Times New Roman" w:hAnsi="Trebuchet MS" w:cs="Times New Roman"/>
          <w:color w:val="000080"/>
          <w:sz w:val="20"/>
          <w:szCs w:val="20"/>
          <w:shd w:val="clear" w:color="auto" w:fill="FFFFFF"/>
        </w:rPr>
        <w:t xml:space="preserve">The entity shall give reasonable public notice of the time and date of the attorney-client session and the names of persons who will be attending the session. The session shall commence at an open meeting at which the persons chairing the meeting shall announce the commencement and estimated length of the attorney-client session and the names of the persons attending. At the conclusion of the attorney-client session, the meeting shall be reopened, and the person chairing the meeting shall </w:t>
      </w:r>
      <w:bookmarkStart w:id="0" w:name="_GoBack"/>
      <w:bookmarkEnd w:id="0"/>
      <w:r w:rsidRPr="00355602">
        <w:rPr>
          <w:rFonts w:ascii="Trebuchet MS" w:eastAsia="Times New Roman" w:hAnsi="Trebuchet MS" w:cs="Times New Roman"/>
          <w:color w:val="000080"/>
          <w:sz w:val="20"/>
          <w:szCs w:val="20"/>
          <w:shd w:val="clear" w:color="auto" w:fill="FFFFFF"/>
        </w:rPr>
        <w:t>announce the termination of the session.</w:t>
      </w:r>
    </w:p>
    <w:p w:rsidR="00355602" w:rsidRPr="00355602" w:rsidRDefault="00355602" w:rsidP="00355602">
      <w:pPr>
        <w:spacing w:after="0" w:line="360" w:lineRule="atLeast"/>
        <w:ind w:firstLine="240"/>
        <w:rPr>
          <w:rFonts w:ascii="Trebuchet MS" w:eastAsia="Times New Roman" w:hAnsi="Trebuchet MS" w:cs="Times New Roman"/>
          <w:color w:val="000080"/>
          <w:sz w:val="20"/>
          <w:szCs w:val="20"/>
          <w:shd w:val="clear" w:color="auto" w:fill="FFFFFF"/>
        </w:rPr>
      </w:pPr>
      <w:r w:rsidRPr="00355602">
        <w:rPr>
          <w:rFonts w:ascii="Trebuchet MS" w:eastAsia="Times New Roman" w:hAnsi="Trebuchet MS" w:cs="Times New Roman"/>
          <w:color w:val="000080"/>
          <w:sz w:val="20"/>
          <w:szCs w:val="20"/>
          <w:shd w:val="clear" w:color="auto" w:fill="FFFFFF"/>
        </w:rPr>
        <w:t>(e</w:t>
      </w:r>
      <w:proofErr w:type="gramStart"/>
      <w:r w:rsidRPr="00355602">
        <w:rPr>
          <w:rFonts w:ascii="Trebuchet MS" w:eastAsia="Times New Roman" w:hAnsi="Trebuchet MS" w:cs="Times New Roman"/>
          <w:color w:val="000080"/>
          <w:sz w:val="20"/>
          <w:szCs w:val="20"/>
          <w:shd w:val="clear" w:color="auto" w:fill="FFFFFF"/>
        </w:rPr>
        <w:t>)</w:t>
      </w:r>
      <w:proofErr w:type="gramEnd"/>
      <w:r w:rsidRPr="00355602">
        <w:rPr>
          <w:rFonts w:ascii="Trebuchet MS" w:eastAsia="Times New Roman" w:hAnsi="Trebuchet MS" w:cs="Times New Roman"/>
          <w:color w:val="000080"/>
          <w:sz w:val="20"/>
          <w:szCs w:val="20"/>
          <w:shd w:val="clear" w:color="auto" w:fill="FFFFFF"/>
        </w:rPr>
        <w:t> </w:t>
      </w:r>
      <w:r w:rsidRPr="00355602">
        <w:rPr>
          <w:rFonts w:ascii="Trebuchet MS" w:eastAsia="Times New Roman" w:hAnsi="Trebuchet MS" w:cs="Times New Roman"/>
          <w:color w:val="000080"/>
          <w:sz w:val="20"/>
          <w:szCs w:val="20"/>
          <w:shd w:val="clear" w:color="auto" w:fill="FFFFFF"/>
        </w:rPr>
        <w:t>The transcript shall be made part of the public record upon conclusion of the litigation.</w:t>
      </w:r>
    </w:p>
    <w:p w:rsidR="00790DD0" w:rsidRDefault="00355602" w:rsidP="00355602">
      <w:pPr>
        <w:shd w:val="clear" w:color="auto" w:fill="FFFFFF"/>
        <w:spacing w:after="0" w:line="360" w:lineRule="atLeast"/>
        <w:ind w:firstLine="200"/>
      </w:pPr>
      <w:r w:rsidRPr="00355602">
        <w:rPr>
          <w:rFonts w:ascii="Trebuchet MS" w:eastAsia="Times New Roman" w:hAnsi="Trebuchet MS" w:cs="Times New Roman"/>
          <w:b/>
          <w:bCs/>
          <w:color w:val="000080"/>
          <w:sz w:val="17"/>
          <w:szCs w:val="17"/>
        </w:rPr>
        <w:t>History.</w:t>
      </w:r>
      <w:r w:rsidRPr="00355602">
        <w:rPr>
          <w:rFonts w:ascii="Trebuchet MS" w:eastAsia="Times New Roman" w:hAnsi="Trebuchet MS" w:cs="Times New Roman"/>
          <w:color w:val="000080"/>
          <w:sz w:val="17"/>
          <w:szCs w:val="17"/>
        </w:rPr>
        <w:t xml:space="preserve">—s. 1, </w:t>
      </w:r>
      <w:proofErr w:type="spellStart"/>
      <w:r w:rsidRPr="00355602">
        <w:rPr>
          <w:rFonts w:ascii="Trebuchet MS" w:eastAsia="Times New Roman" w:hAnsi="Trebuchet MS" w:cs="Times New Roman"/>
          <w:color w:val="000080"/>
          <w:sz w:val="17"/>
          <w:szCs w:val="17"/>
        </w:rPr>
        <w:t>ch.</w:t>
      </w:r>
      <w:proofErr w:type="spellEnd"/>
      <w:r w:rsidRPr="00355602">
        <w:rPr>
          <w:rFonts w:ascii="Trebuchet MS" w:eastAsia="Times New Roman" w:hAnsi="Trebuchet MS" w:cs="Times New Roman"/>
          <w:color w:val="000080"/>
          <w:sz w:val="17"/>
          <w:szCs w:val="17"/>
        </w:rPr>
        <w:t xml:space="preserve"> 67-356; s. 159, </w:t>
      </w:r>
      <w:proofErr w:type="spellStart"/>
      <w:r w:rsidRPr="00355602">
        <w:rPr>
          <w:rFonts w:ascii="Trebuchet MS" w:eastAsia="Times New Roman" w:hAnsi="Trebuchet MS" w:cs="Times New Roman"/>
          <w:color w:val="000080"/>
          <w:sz w:val="17"/>
          <w:szCs w:val="17"/>
        </w:rPr>
        <w:t>ch.</w:t>
      </w:r>
      <w:proofErr w:type="spellEnd"/>
      <w:r w:rsidRPr="00355602">
        <w:rPr>
          <w:rFonts w:ascii="Trebuchet MS" w:eastAsia="Times New Roman" w:hAnsi="Trebuchet MS" w:cs="Times New Roman"/>
          <w:color w:val="000080"/>
          <w:sz w:val="17"/>
          <w:szCs w:val="17"/>
        </w:rPr>
        <w:t xml:space="preserve"> 71-136; s. 1, </w:t>
      </w:r>
      <w:proofErr w:type="spellStart"/>
      <w:r w:rsidRPr="00355602">
        <w:rPr>
          <w:rFonts w:ascii="Trebuchet MS" w:eastAsia="Times New Roman" w:hAnsi="Trebuchet MS" w:cs="Times New Roman"/>
          <w:color w:val="000080"/>
          <w:sz w:val="17"/>
          <w:szCs w:val="17"/>
        </w:rPr>
        <w:t>ch.</w:t>
      </w:r>
      <w:proofErr w:type="spellEnd"/>
      <w:r w:rsidRPr="00355602">
        <w:rPr>
          <w:rFonts w:ascii="Trebuchet MS" w:eastAsia="Times New Roman" w:hAnsi="Trebuchet MS" w:cs="Times New Roman"/>
          <w:color w:val="000080"/>
          <w:sz w:val="17"/>
          <w:szCs w:val="17"/>
        </w:rPr>
        <w:t xml:space="preserve"> 78-365; s. 6, </w:t>
      </w:r>
      <w:proofErr w:type="spellStart"/>
      <w:r w:rsidRPr="00355602">
        <w:rPr>
          <w:rFonts w:ascii="Trebuchet MS" w:eastAsia="Times New Roman" w:hAnsi="Trebuchet MS" w:cs="Times New Roman"/>
          <w:color w:val="000080"/>
          <w:sz w:val="17"/>
          <w:szCs w:val="17"/>
        </w:rPr>
        <w:t>ch.</w:t>
      </w:r>
      <w:proofErr w:type="spellEnd"/>
      <w:r w:rsidRPr="00355602">
        <w:rPr>
          <w:rFonts w:ascii="Trebuchet MS" w:eastAsia="Times New Roman" w:hAnsi="Trebuchet MS" w:cs="Times New Roman"/>
          <w:color w:val="000080"/>
          <w:sz w:val="17"/>
          <w:szCs w:val="17"/>
        </w:rPr>
        <w:t xml:space="preserve"> 85-301; s. 33, </w:t>
      </w:r>
      <w:proofErr w:type="spellStart"/>
      <w:r w:rsidRPr="00355602">
        <w:rPr>
          <w:rFonts w:ascii="Trebuchet MS" w:eastAsia="Times New Roman" w:hAnsi="Trebuchet MS" w:cs="Times New Roman"/>
          <w:color w:val="000080"/>
          <w:sz w:val="17"/>
          <w:szCs w:val="17"/>
        </w:rPr>
        <w:t>ch.</w:t>
      </w:r>
      <w:proofErr w:type="spellEnd"/>
      <w:r w:rsidRPr="00355602">
        <w:rPr>
          <w:rFonts w:ascii="Trebuchet MS" w:eastAsia="Times New Roman" w:hAnsi="Trebuchet MS" w:cs="Times New Roman"/>
          <w:color w:val="000080"/>
          <w:sz w:val="17"/>
          <w:szCs w:val="17"/>
        </w:rPr>
        <w:t xml:space="preserve"> 91-224; s. 1, </w:t>
      </w:r>
      <w:proofErr w:type="spellStart"/>
      <w:r w:rsidRPr="00355602">
        <w:rPr>
          <w:rFonts w:ascii="Trebuchet MS" w:eastAsia="Times New Roman" w:hAnsi="Trebuchet MS" w:cs="Times New Roman"/>
          <w:color w:val="000080"/>
          <w:sz w:val="17"/>
          <w:szCs w:val="17"/>
        </w:rPr>
        <w:t>ch.</w:t>
      </w:r>
      <w:proofErr w:type="spellEnd"/>
      <w:r w:rsidRPr="00355602">
        <w:rPr>
          <w:rFonts w:ascii="Trebuchet MS" w:eastAsia="Times New Roman" w:hAnsi="Trebuchet MS" w:cs="Times New Roman"/>
          <w:color w:val="000080"/>
          <w:sz w:val="17"/>
          <w:szCs w:val="17"/>
        </w:rPr>
        <w:t xml:space="preserve"> 93-232; s. 210, </w:t>
      </w:r>
      <w:proofErr w:type="spellStart"/>
      <w:r w:rsidRPr="00355602">
        <w:rPr>
          <w:rFonts w:ascii="Trebuchet MS" w:eastAsia="Times New Roman" w:hAnsi="Trebuchet MS" w:cs="Times New Roman"/>
          <w:color w:val="000080"/>
          <w:sz w:val="17"/>
          <w:szCs w:val="17"/>
        </w:rPr>
        <w:t>ch.</w:t>
      </w:r>
      <w:proofErr w:type="spellEnd"/>
      <w:r w:rsidRPr="00355602">
        <w:rPr>
          <w:rFonts w:ascii="Trebuchet MS" w:eastAsia="Times New Roman" w:hAnsi="Trebuchet MS" w:cs="Times New Roman"/>
          <w:color w:val="000080"/>
          <w:sz w:val="17"/>
          <w:szCs w:val="17"/>
        </w:rPr>
        <w:t xml:space="preserve"> 95-148; s. 1, </w:t>
      </w:r>
      <w:proofErr w:type="spellStart"/>
      <w:r w:rsidRPr="00355602">
        <w:rPr>
          <w:rFonts w:ascii="Trebuchet MS" w:eastAsia="Times New Roman" w:hAnsi="Trebuchet MS" w:cs="Times New Roman"/>
          <w:color w:val="000080"/>
          <w:sz w:val="17"/>
          <w:szCs w:val="17"/>
        </w:rPr>
        <w:t>ch.</w:t>
      </w:r>
      <w:proofErr w:type="spellEnd"/>
      <w:r w:rsidRPr="00355602">
        <w:rPr>
          <w:rFonts w:ascii="Trebuchet MS" w:eastAsia="Times New Roman" w:hAnsi="Trebuchet MS" w:cs="Times New Roman"/>
          <w:color w:val="000080"/>
          <w:sz w:val="17"/>
          <w:szCs w:val="17"/>
        </w:rPr>
        <w:t xml:space="preserve"> 95-353; s. 2, </w:t>
      </w:r>
      <w:proofErr w:type="spellStart"/>
      <w:r w:rsidRPr="00355602">
        <w:rPr>
          <w:rFonts w:ascii="Trebuchet MS" w:eastAsia="Times New Roman" w:hAnsi="Trebuchet MS" w:cs="Times New Roman"/>
          <w:color w:val="000080"/>
          <w:sz w:val="17"/>
          <w:szCs w:val="17"/>
        </w:rPr>
        <w:t>ch.</w:t>
      </w:r>
      <w:proofErr w:type="spellEnd"/>
      <w:r w:rsidRPr="00355602">
        <w:rPr>
          <w:rFonts w:ascii="Trebuchet MS" w:eastAsia="Times New Roman" w:hAnsi="Trebuchet MS" w:cs="Times New Roman"/>
          <w:color w:val="000080"/>
          <w:sz w:val="17"/>
          <w:szCs w:val="17"/>
        </w:rPr>
        <w:t xml:space="preserve"> 2012-25.</w:t>
      </w:r>
    </w:p>
    <w:sectPr w:rsidR="00790DD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DD0" w:rsidRDefault="00790DD0" w:rsidP="00790DD0">
      <w:pPr>
        <w:spacing w:after="0" w:line="240" w:lineRule="auto"/>
      </w:pPr>
      <w:r>
        <w:separator/>
      </w:r>
    </w:p>
  </w:endnote>
  <w:endnote w:type="continuationSeparator" w:id="0">
    <w:p w:rsidR="00790DD0" w:rsidRDefault="00790DD0" w:rsidP="0079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DD0" w:rsidRDefault="00790DD0" w:rsidP="00790DD0">
    <w:pPr>
      <w:pStyle w:val="Footer"/>
      <w:jc w:val="right"/>
    </w:pPr>
    <w:r>
      <w:t>Printed 6.11.2018</w:t>
    </w:r>
  </w:p>
  <w:p w:rsidR="00790DD0" w:rsidRDefault="00790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DD0" w:rsidRDefault="00790DD0" w:rsidP="00790DD0">
      <w:pPr>
        <w:spacing w:after="0" w:line="240" w:lineRule="auto"/>
      </w:pPr>
      <w:r>
        <w:separator/>
      </w:r>
    </w:p>
  </w:footnote>
  <w:footnote w:type="continuationSeparator" w:id="0">
    <w:p w:rsidR="00790DD0" w:rsidRDefault="00790DD0" w:rsidP="00790D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02"/>
    <w:rsid w:val="00355602"/>
    <w:rsid w:val="00626E5E"/>
    <w:rsid w:val="00790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6626"/>
  <w15:chartTrackingRefBased/>
  <w15:docId w15:val="{62C64F90-E859-45C4-A444-FC2A1C5E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number"/>
    <w:basedOn w:val="DefaultParagraphFont"/>
    <w:rsid w:val="00355602"/>
  </w:style>
  <w:style w:type="character" w:customStyle="1" w:styleId="catchlinetext">
    <w:name w:val="catchlinetext"/>
    <w:basedOn w:val="DefaultParagraphFont"/>
    <w:rsid w:val="00355602"/>
  </w:style>
  <w:style w:type="character" w:customStyle="1" w:styleId="emdash">
    <w:name w:val="emdash"/>
    <w:basedOn w:val="DefaultParagraphFont"/>
    <w:rsid w:val="00355602"/>
  </w:style>
  <w:style w:type="character" w:customStyle="1" w:styleId="sectionbody">
    <w:name w:val="sectionbody"/>
    <w:basedOn w:val="DefaultParagraphFont"/>
    <w:rsid w:val="00355602"/>
  </w:style>
  <w:style w:type="character" w:customStyle="1" w:styleId="number">
    <w:name w:val="number"/>
    <w:basedOn w:val="DefaultParagraphFont"/>
    <w:rsid w:val="00355602"/>
  </w:style>
  <w:style w:type="character" w:customStyle="1" w:styleId="text">
    <w:name w:val="text"/>
    <w:basedOn w:val="DefaultParagraphFont"/>
    <w:rsid w:val="00355602"/>
  </w:style>
  <w:style w:type="character" w:customStyle="1" w:styleId="historytitle">
    <w:name w:val="historytitle"/>
    <w:basedOn w:val="DefaultParagraphFont"/>
    <w:rsid w:val="00355602"/>
  </w:style>
  <w:style w:type="character" w:customStyle="1" w:styleId="historytext">
    <w:name w:val="historytext"/>
    <w:basedOn w:val="DefaultParagraphFont"/>
    <w:rsid w:val="00355602"/>
  </w:style>
  <w:style w:type="paragraph" w:styleId="Header">
    <w:name w:val="header"/>
    <w:basedOn w:val="Normal"/>
    <w:link w:val="HeaderChar"/>
    <w:uiPriority w:val="99"/>
    <w:unhideWhenUsed/>
    <w:rsid w:val="00790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DD0"/>
  </w:style>
  <w:style w:type="paragraph" w:styleId="Footer">
    <w:name w:val="footer"/>
    <w:basedOn w:val="Normal"/>
    <w:link w:val="FooterChar"/>
    <w:uiPriority w:val="99"/>
    <w:unhideWhenUsed/>
    <w:rsid w:val="00790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1736">
      <w:bodyDiv w:val="1"/>
      <w:marLeft w:val="0"/>
      <w:marRight w:val="0"/>
      <w:marTop w:val="0"/>
      <w:marBottom w:val="0"/>
      <w:divBdr>
        <w:top w:val="none" w:sz="0" w:space="0" w:color="auto"/>
        <w:left w:val="none" w:sz="0" w:space="0" w:color="auto"/>
        <w:bottom w:val="none" w:sz="0" w:space="0" w:color="auto"/>
        <w:right w:val="none" w:sz="0" w:space="0" w:color="auto"/>
      </w:divBdr>
      <w:divsChild>
        <w:div w:id="639070799">
          <w:marLeft w:val="0"/>
          <w:marRight w:val="0"/>
          <w:marTop w:val="0"/>
          <w:marBottom w:val="0"/>
          <w:divBdr>
            <w:top w:val="none" w:sz="0" w:space="0" w:color="auto"/>
            <w:left w:val="none" w:sz="0" w:space="0" w:color="auto"/>
            <w:bottom w:val="none" w:sz="0" w:space="0" w:color="auto"/>
            <w:right w:val="none" w:sz="0" w:space="0" w:color="auto"/>
          </w:divBdr>
        </w:div>
        <w:div w:id="1857959205">
          <w:marLeft w:val="0"/>
          <w:marRight w:val="0"/>
          <w:marTop w:val="0"/>
          <w:marBottom w:val="0"/>
          <w:divBdr>
            <w:top w:val="none" w:sz="0" w:space="0" w:color="auto"/>
            <w:left w:val="none" w:sz="0" w:space="0" w:color="auto"/>
            <w:bottom w:val="none" w:sz="0" w:space="0" w:color="auto"/>
            <w:right w:val="none" w:sz="0" w:space="0" w:color="auto"/>
          </w:divBdr>
        </w:div>
        <w:div w:id="262688064">
          <w:marLeft w:val="0"/>
          <w:marRight w:val="0"/>
          <w:marTop w:val="0"/>
          <w:marBottom w:val="0"/>
          <w:divBdr>
            <w:top w:val="none" w:sz="0" w:space="0" w:color="auto"/>
            <w:left w:val="none" w:sz="0" w:space="0" w:color="auto"/>
            <w:bottom w:val="none" w:sz="0" w:space="0" w:color="auto"/>
            <w:right w:val="none" w:sz="0" w:space="0" w:color="auto"/>
          </w:divBdr>
          <w:divsChild>
            <w:div w:id="1663004746">
              <w:marLeft w:val="0"/>
              <w:marRight w:val="0"/>
              <w:marTop w:val="0"/>
              <w:marBottom w:val="0"/>
              <w:divBdr>
                <w:top w:val="none" w:sz="0" w:space="0" w:color="auto"/>
                <w:left w:val="none" w:sz="0" w:space="0" w:color="auto"/>
                <w:bottom w:val="none" w:sz="0" w:space="0" w:color="auto"/>
                <w:right w:val="none" w:sz="0" w:space="0" w:color="auto"/>
              </w:divBdr>
            </w:div>
            <w:div w:id="1924989555">
              <w:marLeft w:val="0"/>
              <w:marRight w:val="0"/>
              <w:marTop w:val="0"/>
              <w:marBottom w:val="0"/>
              <w:divBdr>
                <w:top w:val="none" w:sz="0" w:space="0" w:color="auto"/>
                <w:left w:val="none" w:sz="0" w:space="0" w:color="auto"/>
                <w:bottom w:val="none" w:sz="0" w:space="0" w:color="auto"/>
                <w:right w:val="none" w:sz="0" w:space="0" w:color="auto"/>
              </w:divBdr>
            </w:div>
            <w:div w:id="1920402696">
              <w:marLeft w:val="0"/>
              <w:marRight w:val="0"/>
              <w:marTop w:val="0"/>
              <w:marBottom w:val="0"/>
              <w:divBdr>
                <w:top w:val="none" w:sz="0" w:space="0" w:color="auto"/>
                <w:left w:val="none" w:sz="0" w:space="0" w:color="auto"/>
                <w:bottom w:val="none" w:sz="0" w:space="0" w:color="auto"/>
                <w:right w:val="none" w:sz="0" w:space="0" w:color="auto"/>
              </w:divBdr>
            </w:div>
          </w:divsChild>
        </w:div>
        <w:div w:id="1060516345">
          <w:marLeft w:val="0"/>
          <w:marRight w:val="0"/>
          <w:marTop w:val="0"/>
          <w:marBottom w:val="0"/>
          <w:divBdr>
            <w:top w:val="none" w:sz="0" w:space="0" w:color="auto"/>
            <w:left w:val="none" w:sz="0" w:space="0" w:color="auto"/>
            <w:bottom w:val="none" w:sz="0" w:space="0" w:color="auto"/>
            <w:right w:val="none" w:sz="0" w:space="0" w:color="auto"/>
          </w:divBdr>
        </w:div>
        <w:div w:id="749352341">
          <w:marLeft w:val="0"/>
          <w:marRight w:val="0"/>
          <w:marTop w:val="0"/>
          <w:marBottom w:val="0"/>
          <w:divBdr>
            <w:top w:val="none" w:sz="0" w:space="0" w:color="auto"/>
            <w:left w:val="none" w:sz="0" w:space="0" w:color="auto"/>
            <w:bottom w:val="none" w:sz="0" w:space="0" w:color="auto"/>
            <w:right w:val="none" w:sz="0" w:space="0" w:color="auto"/>
          </w:divBdr>
        </w:div>
        <w:div w:id="599917140">
          <w:marLeft w:val="0"/>
          <w:marRight w:val="0"/>
          <w:marTop w:val="0"/>
          <w:marBottom w:val="0"/>
          <w:divBdr>
            <w:top w:val="none" w:sz="0" w:space="0" w:color="auto"/>
            <w:left w:val="none" w:sz="0" w:space="0" w:color="auto"/>
            <w:bottom w:val="none" w:sz="0" w:space="0" w:color="auto"/>
            <w:right w:val="none" w:sz="0" w:space="0" w:color="auto"/>
          </w:divBdr>
        </w:div>
        <w:div w:id="1281572306">
          <w:marLeft w:val="0"/>
          <w:marRight w:val="0"/>
          <w:marTop w:val="0"/>
          <w:marBottom w:val="0"/>
          <w:divBdr>
            <w:top w:val="none" w:sz="0" w:space="0" w:color="auto"/>
            <w:left w:val="none" w:sz="0" w:space="0" w:color="auto"/>
            <w:bottom w:val="none" w:sz="0" w:space="0" w:color="auto"/>
            <w:right w:val="none" w:sz="0" w:space="0" w:color="auto"/>
          </w:divBdr>
        </w:div>
        <w:div w:id="2125271164">
          <w:marLeft w:val="0"/>
          <w:marRight w:val="0"/>
          <w:marTop w:val="0"/>
          <w:marBottom w:val="0"/>
          <w:divBdr>
            <w:top w:val="none" w:sz="0" w:space="0" w:color="auto"/>
            <w:left w:val="none" w:sz="0" w:space="0" w:color="auto"/>
            <w:bottom w:val="none" w:sz="0" w:space="0" w:color="auto"/>
            <w:right w:val="none" w:sz="0" w:space="0" w:color="auto"/>
          </w:divBdr>
          <w:divsChild>
            <w:div w:id="1212886656">
              <w:marLeft w:val="0"/>
              <w:marRight w:val="0"/>
              <w:marTop w:val="0"/>
              <w:marBottom w:val="0"/>
              <w:divBdr>
                <w:top w:val="none" w:sz="0" w:space="0" w:color="auto"/>
                <w:left w:val="none" w:sz="0" w:space="0" w:color="auto"/>
                <w:bottom w:val="none" w:sz="0" w:space="0" w:color="auto"/>
                <w:right w:val="none" w:sz="0" w:space="0" w:color="auto"/>
              </w:divBdr>
            </w:div>
            <w:div w:id="1730300438">
              <w:marLeft w:val="0"/>
              <w:marRight w:val="0"/>
              <w:marTop w:val="0"/>
              <w:marBottom w:val="0"/>
              <w:divBdr>
                <w:top w:val="none" w:sz="0" w:space="0" w:color="auto"/>
                <w:left w:val="none" w:sz="0" w:space="0" w:color="auto"/>
                <w:bottom w:val="none" w:sz="0" w:space="0" w:color="auto"/>
                <w:right w:val="none" w:sz="0" w:space="0" w:color="auto"/>
              </w:divBdr>
            </w:div>
            <w:div w:id="1205602450">
              <w:marLeft w:val="0"/>
              <w:marRight w:val="0"/>
              <w:marTop w:val="0"/>
              <w:marBottom w:val="0"/>
              <w:divBdr>
                <w:top w:val="none" w:sz="0" w:space="0" w:color="auto"/>
                <w:left w:val="none" w:sz="0" w:space="0" w:color="auto"/>
                <w:bottom w:val="none" w:sz="0" w:space="0" w:color="auto"/>
                <w:right w:val="none" w:sz="0" w:space="0" w:color="auto"/>
              </w:divBdr>
            </w:div>
            <w:div w:id="1388264111">
              <w:marLeft w:val="0"/>
              <w:marRight w:val="0"/>
              <w:marTop w:val="0"/>
              <w:marBottom w:val="0"/>
              <w:divBdr>
                <w:top w:val="none" w:sz="0" w:space="0" w:color="auto"/>
                <w:left w:val="none" w:sz="0" w:space="0" w:color="auto"/>
                <w:bottom w:val="none" w:sz="0" w:space="0" w:color="auto"/>
                <w:right w:val="none" w:sz="0" w:space="0" w:color="auto"/>
              </w:divBdr>
            </w:div>
            <w:div w:id="1861041933">
              <w:marLeft w:val="0"/>
              <w:marRight w:val="0"/>
              <w:marTop w:val="0"/>
              <w:marBottom w:val="0"/>
              <w:divBdr>
                <w:top w:val="none" w:sz="0" w:space="0" w:color="auto"/>
                <w:left w:val="none" w:sz="0" w:space="0" w:color="auto"/>
                <w:bottom w:val="none" w:sz="0" w:space="0" w:color="auto"/>
                <w:right w:val="none" w:sz="0" w:space="0" w:color="auto"/>
              </w:divBdr>
            </w:div>
          </w:divsChild>
        </w:div>
        <w:div w:id="2020230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Fougere</dc:creator>
  <cp:keywords/>
  <dc:description/>
  <cp:lastModifiedBy>Rachelle Fougere</cp:lastModifiedBy>
  <cp:revision>2</cp:revision>
  <dcterms:created xsi:type="dcterms:W3CDTF">2018-06-11T15:42:00Z</dcterms:created>
  <dcterms:modified xsi:type="dcterms:W3CDTF">2018-07-26T12:13:00Z</dcterms:modified>
</cp:coreProperties>
</file>